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A9" w:rsidRDefault="001102A9"/>
    <w:tbl>
      <w:tblPr>
        <w:tblW w:w="0" w:type="auto"/>
        <w:tblLook w:val="00A0" w:firstRow="1" w:lastRow="0" w:firstColumn="1" w:lastColumn="0" w:noHBand="0" w:noVBand="0"/>
      </w:tblPr>
      <w:tblGrid>
        <w:gridCol w:w="5084"/>
        <w:gridCol w:w="4202"/>
      </w:tblGrid>
      <w:tr w:rsidR="001102A9" w:rsidRPr="00615B1E" w:rsidTr="00615B1E">
        <w:tc>
          <w:tcPr>
            <w:tcW w:w="4606" w:type="dxa"/>
          </w:tcPr>
          <w:p w:rsidR="001102A9" w:rsidRPr="00615B1E" w:rsidRDefault="008C341F" w:rsidP="00615B1E">
            <w:pPr>
              <w:spacing w:after="0" w:line="240" w:lineRule="auto"/>
            </w:pPr>
            <w:r>
              <w:rPr>
                <w:noProof/>
              </w:rPr>
              <w:drawing>
                <wp:inline distT="0" distB="0" distL="0" distR="0">
                  <wp:extent cx="3091180" cy="1252220"/>
                  <wp:effectExtent l="0" t="0" r="0"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1180" cy="1252220"/>
                          </a:xfrm>
                          <a:prstGeom prst="rect">
                            <a:avLst/>
                          </a:prstGeom>
                          <a:noFill/>
                          <a:ln>
                            <a:noFill/>
                          </a:ln>
                        </pic:spPr>
                      </pic:pic>
                    </a:graphicData>
                  </a:graphic>
                </wp:inline>
              </w:drawing>
            </w:r>
          </w:p>
        </w:tc>
        <w:tc>
          <w:tcPr>
            <w:tcW w:w="4606" w:type="dxa"/>
          </w:tcPr>
          <w:p w:rsidR="001102A9" w:rsidRPr="00615B1E" w:rsidRDefault="008C341F" w:rsidP="00615B1E">
            <w:pPr>
              <w:spacing w:after="0" w:line="240" w:lineRule="auto"/>
            </w:pPr>
            <w:r>
              <w:rPr>
                <w:noProof/>
              </w:rPr>
              <w:drawing>
                <wp:inline distT="0" distB="0" distL="0" distR="0">
                  <wp:extent cx="2186305" cy="1123315"/>
                  <wp:effectExtent l="0" t="0" r="4445" b="0"/>
                  <wp:docPr id="2" name="Afbeelding 0" descr="FARO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FARO_rg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305" cy="1123315"/>
                          </a:xfrm>
                          <a:prstGeom prst="rect">
                            <a:avLst/>
                          </a:prstGeom>
                          <a:noFill/>
                          <a:ln>
                            <a:noFill/>
                          </a:ln>
                        </pic:spPr>
                      </pic:pic>
                    </a:graphicData>
                  </a:graphic>
                </wp:inline>
              </w:drawing>
            </w:r>
          </w:p>
        </w:tc>
      </w:tr>
    </w:tbl>
    <w:p w:rsidR="001102A9" w:rsidRDefault="001102A9"/>
    <w:p w:rsidR="00222BD8" w:rsidRDefault="00222BD8" w:rsidP="003A3E41">
      <w:pPr>
        <w:jc w:val="center"/>
        <w:rPr>
          <w:rFonts w:ascii="Garamond" w:hAnsi="Garamond"/>
          <w:b/>
          <w:sz w:val="24"/>
          <w:szCs w:val="24"/>
          <w:lang w:val="fr-BE"/>
        </w:rPr>
      </w:pPr>
    </w:p>
    <w:p w:rsidR="00F43BD5" w:rsidRPr="00B702C5" w:rsidRDefault="00F43BD5" w:rsidP="003A3E41">
      <w:pPr>
        <w:jc w:val="center"/>
        <w:rPr>
          <w:rFonts w:ascii="Garamond" w:hAnsi="Garamond"/>
          <w:b/>
          <w:sz w:val="24"/>
          <w:szCs w:val="24"/>
          <w:lang w:val="fr-BE"/>
        </w:rPr>
      </w:pPr>
    </w:p>
    <w:p w:rsidR="00B36EDF" w:rsidRPr="00F43BD5" w:rsidRDefault="00B36EDF" w:rsidP="00B36EDF">
      <w:pPr>
        <w:jc w:val="center"/>
        <w:rPr>
          <w:rFonts w:ascii="Garamond" w:hAnsi="Garamond"/>
          <w:b/>
          <w:sz w:val="32"/>
          <w:szCs w:val="32"/>
          <w:lang w:val="fr-BE"/>
        </w:rPr>
      </w:pPr>
      <w:r w:rsidRPr="00F43BD5">
        <w:rPr>
          <w:rFonts w:ascii="Garamond" w:hAnsi="Garamond"/>
          <w:b/>
          <w:sz w:val="32"/>
          <w:szCs w:val="32"/>
          <w:lang w:val="fr-BE"/>
        </w:rPr>
        <w:t>SYMPOSIUM</w:t>
      </w:r>
    </w:p>
    <w:p w:rsidR="00B36EDF" w:rsidRPr="00F43BD5" w:rsidRDefault="00B36EDF" w:rsidP="00B36EDF">
      <w:pPr>
        <w:jc w:val="center"/>
        <w:rPr>
          <w:rFonts w:ascii="Garamond" w:hAnsi="Garamond"/>
          <w:b/>
          <w:sz w:val="32"/>
          <w:szCs w:val="32"/>
          <w:lang w:val="fr-BE"/>
        </w:rPr>
      </w:pPr>
      <w:r w:rsidRPr="00F43BD5">
        <w:rPr>
          <w:rFonts w:ascii="Garamond" w:hAnsi="Garamond"/>
          <w:b/>
          <w:sz w:val="32"/>
          <w:szCs w:val="32"/>
          <w:lang w:val="fr-BE"/>
        </w:rPr>
        <w:t xml:space="preserve">La </w:t>
      </w:r>
      <w:bookmarkStart w:id="0" w:name="_GoBack"/>
      <w:r w:rsidRPr="00F43BD5">
        <w:rPr>
          <w:rFonts w:ascii="Garamond" w:hAnsi="Garamond"/>
          <w:b/>
          <w:sz w:val="32"/>
          <w:szCs w:val="32"/>
          <w:lang w:val="fr-BE"/>
        </w:rPr>
        <w:t>restitution</w:t>
      </w:r>
      <w:bookmarkEnd w:id="0"/>
      <w:r w:rsidRPr="00F43BD5">
        <w:rPr>
          <w:rFonts w:ascii="Garamond" w:hAnsi="Garamond"/>
          <w:b/>
          <w:sz w:val="32"/>
          <w:szCs w:val="32"/>
          <w:lang w:val="fr-BE"/>
        </w:rPr>
        <w:t xml:space="preserve"> des collections ethnographiques et non-européennes</w:t>
      </w:r>
    </w:p>
    <w:p w:rsidR="00B36EDF" w:rsidRPr="00F43BD5" w:rsidRDefault="00B36EDF" w:rsidP="00B36EDF">
      <w:pPr>
        <w:jc w:val="center"/>
        <w:rPr>
          <w:rFonts w:ascii="Garamond" w:hAnsi="Garamond"/>
          <w:b/>
          <w:sz w:val="32"/>
          <w:szCs w:val="32"/>
          <w:lang w:val="fr-BE"/>
        </w:rPr>
      </w:pPr>
      <w:r w:rsidRPr="00F43BD5">
        <w:rPr>
          <w:rFonts w:ascii="Garamond" w:hAnsi="Garamond"/>
          <w:b/>
          <w:sz w:val="32"/>
          <w:szCs w:val="32"/>
          <w:lang w:val="fr-BE"/>
        </w:rPr>
        <w:t xml:space="preserve">Bruxelles, le 17 novembre 2014 </w:t>
      </w:r>
    </w:p>
    <w:p w:rsidR="00B36EDF" w:rsidRDefault="00B36EDF" w:rsidP="00B36EDF">
      <w:pPr>
        <w:rPr>
          <w:rFonts w:ascii="Garamond" w:hAnsi="Garamond"/>
          <w:sz w:val="24"/>
          <w:szCs w:val="24"/>
          <w:lang w:val="fr-BE"/>
        </w:rPr>
      </w:pPr>
    </w:p>
    <w:p w:rsidR="00B36EDF" w:rsidRPr="002028A7" w:rsidRDefault="00B36EDF" w:rsidP="00F43BD5">
      <w:pPr>
        <w:spacing w:after="0"/>
        <w:rPr>
          <w:rFonts w:ascii="Garamond" w:hAnsi="Garamond"/>
          <w:sz w:val="24"/>
          <w:szCs w:val="24"/>
          <w:lang w:val="fr-BE"/>
        </w:rPr>
      </w:pPr>
      <w:r w:rsidRPr="002028A7">
        <w:rPr>
          <w:rFonts w:ascii="Garamond" w:hAnsi="Garamond"/>
          <w:color w:val="000000"/>
          <w:sz w:val="24"/>
          <w:szCs w:val="24"/>
          <w:lang w:val="fr-BE"/>
        </w:rPr>
        <w:t xml:space="preserve">La mobilité des objets et des personnes a toujours existé.  Les collections publiques belges en témoignent. Des objets spécifiques d’autres continents sont venus enrichir les collections privées ou publiques européennes. Ces objets pouvaient être liés aux activités des </w:t>
      </w:r>
      <w:r w:rsidRPr="002028A7">
        <w:rPr>
          <w:rFonts w:ascii="Garamond" w:hAnsi="Garamond"/>
          <w:sz w:val="24"/>
          <w:szCs w:val="24"/>
          <w:lang w:val="fr-BE"/>
        </w:rPr>
        <w:t>missionnaires ou à la démonstration de la puissance des colonisateurs, mais aussi être ramenés par des expéditions scientifiques visant à documenter la diversité culturelle et naturelle. De même, certains collectionneurs privés ont également rapporté de nombreux objets de leurs voyages ou expéditions en dehors de l'Europe.</w:t>
      </w:r>
    </w:p>
    <w:p w:rsidR="00B36EDF" w:rsidRPr="002028A7" w:rsidRDefault="00B36EDF" w:rsidP="00F43BD5">
      <w:pPr>
        <w:spacing w:after="0"/>
        <w:rPr>
          <w:rFonts w:ascii="Garamond" w:hAnsi="Garamond"/>
          <w:sz w:val="24"/>
          <w:szCs w:val="24"/>
          <w:lang w:val="fr-BE"/>
        </w:rPr>
      </w:pPr>
    </w:p>
    <w:p w:rsidR="00B36EDF" w:rsidRPr="002028A7" w:rsidRDefault="00B36EDF" w:rsidP="00F43BD5">
      <w:pPr>
        <w:spacing w:after="0"/>
        <w:rPr>
          <w:rFonts w:ascii="Garamond" w:hAnsi="Garamond"/>
          <w:color w:val="000000"/>
          <w:sz w:val="24"/>
          <w:szCs w:val="24"/>
          <w:lang w:val="fr-BE"/>
        </w:rPr>
      </w:pPr>
      <w:r w:rsidRPr="002028A7">
        <w:rPr>
          <w:rFonts w:ascii="Garamond" w:hAnsi="Garamond"/>
          <w:color w:val="000000"/>
          <w:sz w:val="24"/>
          <w:szCs w:val="24"/>
          <w:lang w:val="fr-BE"/>
        </w:rPr>
        <w:t xml:space="preserve">La muséologie contemporaine privilégie une présentation où le contexte et l’implication des communautés ressources ont une place majeure. La mondialisation et la migration entrainent des changements conséquents, notamment quant à la circulation des objets. </w:t>
      </w:r>
    </w:p>
    <w:p w:rsidR="00B36EDF" w:rsidRPr="002028A7" w:rsidRDefault="00B36EDF" w:rsidP="00F43BD5">
      <w:pPr>
        <w:spacing w:after="0"/>
        <w:rPr>
          <w:rFonts w:ascii="Garamond" w:hAnsi="Garamond"/>
          <w:color w:val="000000"/>
          <w:sz w:val="24"/>
          <w:szCs w:val="24"/>
          <w:lang w:val="fr-BE"/>
        </w:rPr>
      </w:pPr>
    </w:p>
    <w:p w:rsidR="00B36EDF" w:rsidRPr="002028A7" w:rsidRDefault="00B36EDF" w:rsidP="00F43BD5">
      <w:pPr>
        <w:spacing w:after="0"/>
        <w:rPr>
          <w:rFonts w:ascii="Garamond" w:hAnsi="Garamond"/>
          <w:color w:val="000000"/>
          <w:sz w:val="24"/>
          <w:szCs w:val="24"/>
          <w:lang w:val="fr-BE"/>
        </w:rPr>
      </w:pPr>
      <w:r w:rsidRPr="002028A7">
        <w:rPr>
          <w:rFonts w:ascii="Garamond" w:hAnsi="Garamond"/>
          <w:color w:val="000000"/>
          <w:sz w:val="24"/>
          <w:szCs w:val="24"/>
          <w:lang w:val="fr-BE"/>
        </w:rPr>
        <w:t xml:space="preserve">Par leur contexte, les collections ethnographiques racontent non seulement une histoire d'acquisition, elles poussent également les personnes concernées à se poser la question de la préservation des pièces dans le temps . Le suivi des revendications de restitution en est un exemple évident et concret. </w:t>
      </w:r>
    </w:p>
    <w:p w:rsidR="00B36EDF" w:rsidRPr="002028A7" w:rsidRDefault="00B36EDF" w:rsidP="00F43BD5">
      <w:pPr>
        <w:spacing w:after="0"/>
        <w:rPr>
          <w:rFonts w:ascii="Garamond" w:hAnsi="Garamond"/>
          <w:color w:val="000000"/>
          <w:sz w:val="24"/>
          <w:szCs w:val="24"/>
          <w:lang w:val="fr-BE"/>
        </w:rPr>
      </w:pPr>
    </w:p>
    <w:p w:rsidR="00B36EDF" w:rsidRPr="002028A7" w:rsidRDefault="00B36EDF" w:rsidP="00F43BD5">
      <w:pPr>
        <w:spacing w:after="0"/>
        <w:rPr>
          <w:rFonts w:ascii="Garamond" w:hAnsi="Garamond"/>
          <w:color w:val="000000"/>
          <w:sz w:val="24"/>
          <w:szCs w:val="24"/>
          <w:lang w:val="fr-BE"/>
        </w:rPr>
      </w:pPr>
      <w:r w:rsidRPr="002028A7">
        <w:rPr>
          <w:rFonts w:ascii="Garamond" w:hAnsi="Garamond"/>
          <w:color w:val="000000"/>
          <w:sz w:val="24"/>
          <w:szCs w:val="24"/>
          <w:lang w:val="fr-BE"/>
        </w:rPr>
        <w:t>Ce symposium veut dès lors sensibiliser aux défis relatifs à la gestion des collections ethnographiques. Les perspectives juridiques en matière de restitution seront également abordées. La journée se terminera par la présentation de quelques cas concrets et par un vaste débat avec les musées, les archives et les collectionneurs concernés.</w:t>
      </w:r>
    </w:p>
    <w:p w:rsidR="00B36EDF" w:rsidRPr="002028A7" w:rsidRDefault="00B36EDF" w:rsidP="00B702C5">
      <w:pPr>
        <w:spacing w:after="0" w:line="360" w:lineRule="auto"/>
        <w:rPr>
          <w:rFonts w:ascii="Garamond" w:hAnsi="Garamond"/>
          <w:color w:val="000000"/>
          <w:sz w:val="24"/>
          <w:szCs w:val="24"/>
          <w:lang w:val="fr-BE"/>
        </w:rPr>
      </w:pPr>
    </w:p>
    <w:p w:rsidR="00F43BD5" w:rsidRPr="002028A7" w:rsidRDefault="00F43BD5" w:rsidP="00B702C5">
      <w:pPr>
        <w:spacing w:after="0" w:line="360" w:lineRule="auto"/>
        <w:rPr>
          <w:rFonts w:ascii="Garamond" w:hAnsi="Garamond"/>
          <w:color w:val="000000"/>
          <w:sz w:val="24"/>
          <w:szCs w:val="24"/>
          <w:lang w:val="fr-BE"/>
        </w:rPr>
      </w:pPr>
    </w:p>
    <w:p w:rsidR="00F43BD5" w:rsidRPr="002028A7" w:rsidRDefault="00F43BD5" w:rsidP="00B702C5">
      <w:pPr>
        <w:spacing w:after="0" w:line="360" w:lineRule="auto"/>
        <w:rPr>
          <w:rFonts w:ascii="Garamond" w:hAnsi="Garamond"/>
          <w:color w:val="000000"/>
          <w:sz w:val="24"/>
          <w:szCs w:val="24"/>
          <w:lang w:val="fr-BE"/>
        </w:rPr>
      </w:pPr>
    </w:p>
    <w:p w:rsidR="00F43BD5" w:rsidRPr="002028A7" w:rsidRDefault="00F43BD5" w:rsidP="00B702C5">
      <w:pPr>
        <w:spacing w:after="0" w:line="360" w:lineRule="auto"/>
        <w:rPr>
          <w:rFonts w:ascii="Garamond" w:hAnsi="Garamond"/>
          <w:color w:val="000000"/>
          <w:sz w:val="24"/>
          <w:szCs w:val="24"/>
          <w:lang w:val="fr-BE"/>
        </w:rPr>
      </w:pPr>
    </w:p>
    <w:p w:rsidR="00B36EDF" w:rsidRPr="002028A7" w:rsidRDefault="00B36EDF" w:rsidP="00B36EDF">
      <w:pPr>
        <w:jc w:val="center"/>
        <w:rPr>
          <w:rFonts w:ascii="Garamond" w:hAnsi="Garamond"/>
          <w:b/>
          <w:color w:val="000000" w:themeColor="text1"/>
          <w:sz w:val="24"/>
          <w:szCs w:val="24"/>
          <w:shd w:val="clear" w:color="auto" w:fill="FFFFFF"/>
          <w:lang w:val="fr-BE"/>
        </w:rPr>
      </w:pPr>
      <w:r w:rsidRPr="002028A7">
        <w:rPr>
          <w:rFonts w:ascii="Garamond" w:hAnsi="Garamond"/>
          <w:b/>
          <w:color w:val="000000" w:themeColor="text1"/>
          <w:sz w:val="24"/>
          <w:szCs w:val="24"/>
          <w:shd w:val="clear" w:color="auto" w:fill="FFFFFF"/>
          <w:lang w:val="fr-BE"/>
        </w:rPr>
        <w:lastRenderedPageBreak/>
        <w:t>PROGRAMME</w:t>
      </w:r>
    </w:p>
    <w:p w:rsidR="00B36EDF" w:rsidRPr="002028A7" w:rsidRDefault="00B36EDF" w:rsidP="00B36EDF">
      <w:pPr>
        <w:rPr>
          <w:rFonts w:ascii="Garamond" w:hAnsi="Garamond"/>
          <w:b/>
          <w:color w:val="000000" w:themeColor="text1"/>
          <w:sz w:val="24"/>
          <w:szCs w:val="24"/>
          <w:shd w:val="clear" w:color="auto" w:fill="FFFFFF"/>
          <w:lang w:val="fr-BE"/>
        </w:rPr>
      </w:pPr>
    </w:p>
    <w:p w:rsidR="00B36EDF" w:rsidRPr="002028A7" w:rsidRDefault="00B36EDF" w:rsidP="00B36EDF">
      <w:pPr>
        <w:rPr>
          <w:rFonts w:ascii="Garamond" w:hAnsi="Garamond"/>
          <w:sz w:val="24"/>
          <w:szCs w:val="24"/>
          <w:lang w:val="fr-BE"/>
        </w:rPr>
      </w:pPr>
      <w:r w:rsidRPr="002028A7">
        <w:rPr>
          <w:rFonts w:ascii="Garamond" w:hAnsi="Garamond"/>
          <w:sz w:val="24"/>
          <w:szCs w:val="24"/>
          <w:lang w:val="fr-BE"/>
        </w:rPr>
        <w:t xml:space="preserve">10h00-10h30 </w:t>
      </w:r>
      <w:r w:rsidRPr="002028A7">
        <w:rPr>
          <w:rFonts w:ascii="Garamond" w:hAnsi="Garamond"/>
          <w:sz w:val="24"/>
          <w:szCs w:val="24"/>
          <w:lang w:val="fr-BE"/>
        </w:rPr>
        <w:tab/>
        <w:t xml:space="preserve">:Accueil </w:t>
      </w:r>
    </w:p>
    <w:p w:rsidR="00B36EDF" w:rsidRPr="002028A7" w:rsidRDefault="00B36EDF" w:rsidP="00B36EDF">
      <w:pPr>
        <w:rPr>
          <w:rFonts w:ascii="Garamond" w:hAnsi="Garamond"/>
          <w:sz w:val="24"/>
          <w:szCs w:val="24"/>
          <w:lang w:val="fr-BE"/>
        </w:rPr>
      </w:pPr>
    </w:p>
    <w:p w:rsidR="00B36EDF" w:rsidRPr="002028A7" w:rsidRDefault="00B36EDF" w:rsidP="00B36EDF">
      <w:pPr>
        <w:jc w:val="center"/>
        <w:rPr>
          <w:rFonts w:ascii="Garamond" w:hAnsi="Garamond"/>
          <w:b/>
          <w:i/>
          <w:sz w:val="24"/>
          <w:szCs w:val="24"/>
          <w:lang w:val="fr-BE"/>
        </w:rPr>
      </w:pPr>
      <w:r w:rsidRPr="002028A7">
        <w:rPr>
          <w:rFonts w:ascii="Garamond" w:hAnsi="Garamond"/>
          <w:b/>
          <w:i/>
          <w:sz w:val="24"/>
          <w:szCs w:val="24"/>
          <w:lang w:val="fr-BE"/>
        </w:rPr>
        <w:t xml:space="preserve">PREMIERE PARTIE: </w:t>
      </w:r>
    </w:p>
    <w:p w:rsidR="00B36EDF" w:rsidRPr="002028A7" w:rsidRDefault="00B36EDF" w:rsidP="00B36EDF">
      <w:pPr>
        <w:jc w:val="center"/>
        <w:rPr>
          <w:rFonts w:ascii="Garamond" w:hAnsi="Garamond"/>
          <w:b/>
          <w:i/>
          <w:sz w:val="24"/>
          <w:szCs w:val="24"/>
          <w:lang w:val="fr-BE"/>
        </w:rPr>
      </w:pPr>
      <w:r w:rsidRPr="002028A7">
        <w:rPr>
          <w:rFonts w:ascii="Garamond" w:hAnsi="Garamond"/>
          <w:b/>
          <w:i/>
          <w:sz w:val="24"/>
          <w:szCs w:val="24"/>
          <w:lang w:val="fr-BE"/>
        </w:rPr>
        <w:t>Ethnocoll : perspectives et challenge</w:t>
      </w:r>
    </w:p>
    <w:p w:rsidR="00B36EDF" w:rsidRPr="002028A7" w:rsidRDefault="00B36EDF" w:rsidP="00B36EDF">
      <w:pPr>
        <w:ind w:left="1416" w:hanging="1416"/>
        <w:rPr>
          <w:rFonts w:ascii="Garamond" w:hAnsi="Garamond"/>
          <w:sz w:val="24"/>
          <w:szCs w:val="24"/>
          <w:lang w:val="fr-BE"/>
        </w:rPr>
      </w:pPr>
      <w:r w:rsidRPr="002028A7">
        <w:rPr>
          <w:rFonts w:ascii="Garamond" w:hAnsi="Garamond"/>
          <w:sz w:val="24"/>
          <w:szCs w:val="24"/>
          <w:lang w:val="fr-BE"/>
        </w:rPr>
        <w:t>10h30-11h30</w:t>
      </w:r>
      <w:r w:rsidRPr="002028A7">
        <w:rPr>
          <w:rFonts w:ascii="Garamond" w:hAnsi="Garamond"/>
          <w:sz w:val="24"/>
          <w:szCs w:val="24"/>
          <w:lang w:val="fr-BE"/>
        </w:rPr>
        <w:tab/>
        <w:t>Introduction par Marc Jacobs, Katrijn D’hamers (FARO), Anne De Breuck (Fondation Roi Baudouin), et brève présentation des organismes participants ; lancement du site web www.ethnocoll.be (néerlandais, français, anglais)</w:t>
      </w:r>
      <w:r w:rsidRPr="002028A7">
        <w:rPr>
          <w:rFonts w:ascii="Garamond" w:hAnsi="Garamond"/>
          <w:sz w:val="24"/>
          <w:szCs w:val="24"/>
          <w:lang w:val="fr-BE"/>
        </w:rPr>
        <w:tab/>
        <w:t>l</w:t>
      </w:r>
    </w:p>
    <w:p w:rsidR="00B36EDF" w:rsidRPr="002028A7" w:rsidRDefault="00B36EDF" w:rsidP="00B36EDF">
      <w:pPr>
        <w:rPr>
          <w:rFonts w:ascii="Garamond" w:hAnsi="Garamond"/>
          <w:sz w:val="24"/>
          <w:szCs w:val="24"/>
          <w:lang w:val="fr-BE"/>
        </w:rPr>
      </w:pPr>
      <w:r w:rsidRPr="002028A7">
        <w:rPr>
          <w:rFonts w:ascii="Garamond" w:hAnsi="Garamond"/>
          <w:sz w:val="24"/>
          <w:szCs w:val="24"/>
        </w:rPr>
        <w:t>11h30-12h00</w:t>
      </w:r>
      <w:r w:rsidRPr="002028A7">
        <w:rPr>
          <w:rFonts w:ascii="Garamond" w:hAnsi="Garamond"/>
          <w:sz w:val="24"/>
          <w:szCs w:val="24"/>
        </w:rPr>
        <w:tab/>
        <w:t>Dr Marc Jacobs (VUB &amp; FARO) : “</w:t>
      </w:r>
      <w:r w:rsidRPr="002028A7">
        <w:rPr>
          <w:rFonts w:ascii="Garamond" w:hAnsi="Garamond"/>
          <w:i/>
          <w:sz w:val="24"/>
          <w:szCs w:val="24"/>
        </w:rPr>
        <w:t>Collections, “ethno” and theoretical perspectives</w:t>
      </w:r>
      <w:r w:rsidRPr="002028A7">
        <w:rPr>
          <w:rFonts w:ascii="Garamond" w:hAnsi="Garamond"/>
          <w:sz w:val="24"/>
          <w:szCs w:val="24"/>
        </w:rPr>
        <w:t xml:space="preserve">”. </w:t>
      </w:r>
      <w:r w:rsidRPr="002028A7">
        <w:rPr>
          <w:rFonts w:ascii="Garamond" w:hAnsi="Garamond"/>
          <w:sz w:val="24"/>
          <w:szCs w:val="24"/>
        </w:rPr>
        <w:br/>
      </w:r>
      <w:r w:rsidRPr="002028A7">
        <w:rPr>
          <w:rFonts w:ascii="Garamond" w:hAnsi="Garamond"/>
          <w:sz w:val="24"/>
          <w:szCs w:val="24"/>
        </w:rPr>
        <w:tab/>
      </w:r>
      <w:r w:rsidRPr="002028A7">
        <w:rPr>
          <w:rFonts w:ascii="Garamond" w:hAnsi="Garamond"/>
          <w:sz w:val="24"/>
          <w:szCs w:val="24"/>
        </w:rPr>
        <w:tab/>
      </w:r>
      <w:r w:rsidRPr="002028A7">
        <w:rPr>
          <w:rFonts w:ascii="Garamond" w:hAnsi="Garamond"/>
          <w:sz w:val="24"/>
          <w:szCs w:val="24"/>
          <w:lang w:val="fr-BE"/>
        </w:rPr>
        <w:t>(en anglais)</w:t>
      </w:r>
    </w:p>
    <w:p w:rsidR="00B36EDF" w:rsidRPr="002028A7" w:rsidRDefault="00B36EDF" w:rsidP="00B36EDF">
      <w:pPr>
        <w:rPr>
          <w:rFonts w:ascii="Garamond" w:hAnsi="Garamond"/>
          <w:i/>
          <w:sz w:val="24"/>
          <w:szCs w:val="24"/>
          <w:lang w:val="fr-BE"/>
        </w:rPr>
      </w:pPr>
      <w:r w:rsidRPr="002028A7">
        <w:rPr>
          <w:rFonts w:ascii="Garamond" w:hAnsi="Garamond"/>
          <w:i/>
          <w:sz w:val="24"/>
          <w:szCs w:val="24"/>
          <w:lang w:val="fr-BE"/>
        </w:rPr>
        <w:t>12h00-13h00</w:t>
      </w:r>
      <w:r w:rsidRPr="002028A7">
        <w:rPr>
          <w:rFonts w:ascii="Garamond" w:hAnsi="Garamond"/>
          <w:i/>
          <w:sz w:val="24"/>
          <w:szCs w:val="24"/>
          <w:lang w:val="fr-BE"/>
        </w:rPr>
        <w:tab/>
        <w:t>Déjeuner</w:t>
      </w:r>
    </w:p>
    <w:p w:rsidR="00B36EDF" w:rsidRPr="002028A7" w:rsidRDefault="00B36EDF" w:rsidP="00B36EDF">
      <w:pPr>
        <w:rPr>
          <w:rFonts w:ascii="Garamond" w:hAnsi="Garamond"/>
          <w:sz w:val="24"/>
          <w:szCs w:val="24"/>
          <w:lang w:val="fr-BE"/>
        </w:rPr>
      </w:pPr>
    </w:p>
    <w:p w:rsidR="00B36EDF" w:rsidRPr="002028A7" w:rsidRDefault="00B36EDF" w:rsidP="00B36EDF">
      <w:pPr>
        <w:jc w:val="center"/>
        <w:rPr>
          <w:rFonts w:ascii="Garamond" w:hAnsi="Garamond"/>
          <w:b/>
          <w:i/>
          <w:sz w:val="24"/>
          <w:szCs w:val="24"/>
          <w:lang w:val="fr-BE"/>
        </w:rPr>
      </w:pPr>
      <w:r w:rsidRPr="002028A7">
        <w:rPr>
          <w:rFonts w:ascii="Garamond" w:hAnsi="Garamond"/>
          <w:b/>
          <w:i/>
          <w:sz w:val="24"/>
          <w:szCs w:val="24"/>
          <w:lang w:val="fr-BE"/>
        </w:rPr>
        <w:t xml:space="preserve">SECONDE PARTIE: </w:t>
      </w:r>
    </w:p>
    <w:p w:rsidR="00B36EDF" w:rsidRPr="002028A7" w:rsidRDefault="00B36EDF" w:rsidP="00B36EDF">
      <w:pPr>
        <w:jc w:val="center"/>
        <w:rPr>
          <w:rFonts w:ascii="Garamond" w:hAnsi="Garamond"/>
          <w:b/>
          <w:i/>
          <w:sz w:val="24"/>
          <w:szCs w:val="24"/>
          <w:lang w:val="fr-BE"/>
        </w:rPr>
      </w:pPr>
      <w:r w:rsidRPr="002028A7">
        <w:rPr>
          <w:rFonts w:ascii="Garamond" w:hAnsi="Garamond"/>
          <w:b/>
          <w:i/>
          <w:sz w:val="24"/>
          <w:szCs w:val="24"/>
          <w:lang w:val="fr-BE"/>
        </w:rPr>
        <w:t xml:space="preserve">Revendication et restitution : un défi pour les collections ethnographiques </w:t>
      </w:r>
    </w:p>
    <w:p w:rsidR="00B36EDF" w:rsidRPr="002028A7" w:rsidRDefault="00B36EDF" w:rsidP="00B36EDF">
      <w:pPr>
        <w:ind w:left="1416" w:hanging="1416"/>
        <w:rPr>
          <w:rFonts w:ascii="Garamond" w:hAnsi="Garamond"/>
          <w:sz w:val="24"/>
          <w:szCs w:val="24"/>
          <w:lang w:val="fr-BE"/>
        </w:rPr>
      </w:pPr>
      <w:r w:rsidRPr="002028A7">
        <w:rPr>
          <w:rFonts w:ascii="Garamond" w:hAnsi="Garamond"/>
          <w:sz w:val="24"/>
          <w:szCs w:val="24"/>
          <w:lang w:val="fr-BE"/>
        </w:rPr>
        <w:t>13h00-13h45</w:t>
      </w:r>
      <w:r w:rsidRPr="002028A7">
        <w:rPr>
          <w:rFonts w:ascii="Garamond" w:hAnsi="Garamond"/>
          <w:sz w:val="24"/>
          <w:szCs w:val="24"/>
          <w:lang w:val="fr-BE"/>
        </w:rPr>
        <w:tab/>
        <w:t xml:space="preserve">Dr </w:t>
      </w:r>
      <w:proofErr w:type="spellStart"/>
      <w:r w:rsidRPr="002028A7">
        <w:rPr>
          <w:rFonts w:ascii="Garamond" w:hAnsi="Garamond"/>
          <w:sz w:val="24"/>
          <w:szCs w:val="24"/>
          <w:lang w:val="fr-BE"/>
        </w:rPr>
        <w:t>Aneta</w:t>
      </w:r>
      <w:proofErr w:type="spellEnd"/>
      <w:r w:rsidRPr="002028A7">
        <w:rPr>
          <w:rFonts w:ascii="Garamond" w:hAnsi="Garamond"/>
          <w:sz w:val="24"/>
          <w:szCs w:val="24"/>
          <w:lang w:val="fr-BE"/>
        </w:rPr>
        <w:t xml:space="preserve"> </w:t>
      </w:r>
      <w:proofErr w:type="spellStart"/>
      <w:r w:rsidRPr="002028A7">
        <w:rPr>
          <w:rFonts w:ascii="Garamond" w:hAnsi="Garamond"/>
          <w:sz w:val="24"/>
          <w:szCs w:val="24"/>
          <w:lang w:val="fr-BE"/>
        </w:rPr>
        <w:t>Haliżak</w:t>
      </w:r>
      <w:proofErr w:type="spellEnd"/>
      <w:r w:rsidRPr="002028A7">
        <w:rPr>
          <w:rFonts w:ascii="Garamond" w:hAnsi="Garamond"/>
          <w:sz w:val="24"/>
          <w:szCs w:val="24"/>
          <w:lang w:val="fr-BE"/>
        </w:rPr>
        <w:t xml:space="preserve"> (</w:t>
      </w:r>
      <w:proofErr w:type="spellStart"/>
      <w:r w:rsidRPr="002028A7">
        <w:rPr>
          <w:rFonts w:ascii="Garamond" w:hAnsi="Garamond"/>
          <w:sz w:val="24"/>
          <w:szCs w:val="24"/>
          <w:lang w:val="fr-BE"/>
        </w:rPr>
        <w:t>Vrije</w:t>
      </w:r>
      <w:proofErr w:type="spellEnd"/>
      <w:r w:rsidRPr="002028A7">
        <w:rPr>
          <w:rFonts w:ascii="Garamond" w:hAnsi="Garamond"/>
          <w:sz w:val="24"/>
          <w:szCs w:val="24"/>
          <w:lang w:val="fr-BE"/>
        </w:rPr>
        <w:t xml:space="preserve"> </w:t>
      </w:r>
      <w:proofErr w:type="spellStart"/>
      <w:r w:rsidRPr="002028A7">
        <w:rPr>
          <w:rFonts w:ascii="Garamond" w:hAnsi="Garamond"/>
          <w:sz w:val="24"/>
          <w:szCs w:val="24"/>
          <w:lang w:val="fr-BE"/>
        </w:rPr>
        <w:t>Universiteit</w:t>
      </w:r>
      <w:proofErr w:type="spellEnd"/>
      <w:r w:rsidRPr="002028A7">
        <w:rPr>
          <w:rFonts w:ascii="Garamond" w:hAnsi="Garamond"/>
          <w:sz w:val="24"/>
          <w:szCs w:val="24"/>
          <w:lang w:val="fr-BE"/>
        </w:rPr>
        <w:t xml:space="preserve"> Brussel) : “</w:t>
      </w:r>
      <w:proofErr w:type="spellStart"/>
      <w:r w:rsidRPr="002028A7">
        <w:rPr>
          <w:rFonts w:ascii="Garamond" w:hAnsi="Garamond"/>
          <w:i/>
          <w:sz w:val="24"/>
          <w:szCs w:val="24"/>
          <w:lang w:val="fr-BE"/>
        </w:rPr>
        <w:t>Ethnographic</w:t>
      </w:r>
      <w:proofErr w:type="spellEnd"/>
      <w:r w:rsidRPr="002028A7">
        <w:rPr>
          <w:rFonts w:ascii="Garamond" w:hAnsi="Garamond"/>
          <w:i/>
          <w:sz w:val="24"/>
          <w:szCs w:val="24"/>
          <w:lang w:val="fr-BE"/>
        </w:rPr>
        <w:t xml:space="preserve"> collections, (international) </w:t>
      </w:r>
      <w:proofErr w:type="spellStart"/>
      <w:r w:rsidRPr="002028A7">
        <w:rPr>
          <w:rFonts w:ascii="Garamond" w:hAnsi="Garamond"/>
          <w:i/>
          <w:sz w:val="24"/>
          <w:szCs w:val="24"/>
          <w:lang w:val="fr-BE"/>
        </w:rPr>
        <w:t>law</w:t>
      </w:r>
      <w:proofErr w:type="spellEnd"/>
      <w:r w:rsidRPr="002028A7">
        <w:rPr>
          <w:rFonts w:ascii="Garamond" w:hAnsi="Garamond"/>
          <w:i/>
          <w:sz w:val="24"/>
          <w:szCs w:val="24"/>
          <w:lang w:val="fr-BE"/>
        </w:rPr>
        <w:t xml:space="preserve">, jurisprudence and </w:t>
      </w:r>
      <w:proofErr w:type="spellStart"/>
      <w:r w:rsidRPr="002028A7">
        <w:rPr>
          <w:rFonts w:ascii="Garamond" w:hAnsi="Garamond"/>
          <w:i/>
          <w:sz w:val="24"/>
          <w:szCs w:val="24"/>
          <w:lang w:val="fr-BE"/>
        </w:rPr>
        <w:t>ethics</w:t>
      </w:r>
      <w:proofErr w:type="spellEnd"/>
      <w:r w:rsidRPr="002028A7">
        <w:rPr>
          <w:rFonts w:ascii="Garamond" w:hAnsi="Garamond"/>
          <w:sz w:val="24"/>
          <w:szCs w:val="24"/>
          <w:lang w:val="fr-BE"/>
        </w:rPr>
        <w:t>”</w:t>
      </w:r>
      <w:r w:rsidRPr="002028A7">
        <w:rPr>
          <w:rFonts w:ascii="Garamond" w:hAnsi="Garamond"/>
          <w:sz w:val="24"/>
          <w:szCs w:val="24"/>
          <w:lang w:val="fr-BE"/>
        </w:rPr>
        <w:br/>
        <w:t>(en anglais)</w:t>
      </w:r>
    </w:p>
    <w:p w:rsidR="00B36EDF" w:rsidRPr="002028A7" w:rsidRDefault="00B36EDF" w:rsidP="00B36EDF">
      <w:pPr>
        <w:ind w:left="1416" w:hanging="1416"/>
        <w:rPr>
          <w:rFonts w:ascii="Garamond" w:hAnsi="Garamond"/>
          <w:sz w:val="24"/>
          <w:szCs w:val="24"/>
          <w:lang w:val="fr-BE"/>
        </w:rPr>
      </w:pPr>
      <w:r w:rsidRPr="002028A7">
        <w:rPr>
          <w:rFonts w:ascii="Garamond" w:hAnsi="Garamond"/>
          <w:sz w:val="24"/>
          <w:szCs w:val="24"/>
          <w:lang w:val="fr-BE"/>
        </w:rPr>
        <w:t>13h45-14h15</w:t>
      </w:r>
      <w:r w:rsidRPr="002028A7">
        <w:rPr>
          <w:rFonts w:ascii="Garamond" w:hAnsi="Garamond"/>
          <w:sz w:val="24"/>
          <w:szCs w:val="24"/>
          <w:lang w:val="fr-BE"/>
        </w:rPr>
        <w:tab/>
        <w:t xml:space="preserve">Dr Wim de Vos (ICOM &amp; </w:t>
      </w:r>
      <w:proofErr w:type="spellStart"/>
      <w:r w:rsidRPr="002028A7">
        <w:rPr>
          <w:rFonts w:ascii="Garamond" w:hAnsi="Garamond"/>
          <w:sz w:val="24"/>
          <w:szCs w:val="24"/>
          <w:lang w:val="fr-BE"/>
        </w:rPr>
        <w:t>Belspo</w:t>
      </w:r>
      <w:proofErr w:type="spellEnd"/>
      <w:r w:rsidRPr="002028A7">
        <w:rPr>
          <w:rFonts w:ascii="Garamond" w:hAnsi="Garamond"/>
          <w:sz w:val="24"/>
          <w:szCs w:val="24"/>
          <w:lang w:val="fr-BE"/>
        </w:rPr>
        <w:t xml:space="preserve">) et </w:t>
      </w:r>
      <w:proofErr w:type="spellStart"/>
      <w:r w:rsidRPr="002028A7">
        <w:rPr>
          <w:rFonts w:ascii="Garamond" w:hAnsi="Garamond"/>
          <w:sz w:val="24"/>
          <w:szCs w:val="24"/>
          <w:lang w:val="fr-BE"/>
        </w:rPr>
        <w:t>Regine</w:t>
      </w:r>
      <w:proofErr w:type="spellEnd"/>
      <w:r w:rsidRPr="002028A7">
        <w:rPr>
          <w:rFonts w:ascii="Garamond" w:hAnsi="Garamond"/>
          <w:sz w:val="24"/>
          <w:szCs w:val="24"/>
          <w:lang w:val="fr-BE"/>
        </w:rPr>
        <w:t xml:space="preserve"> Schulz (Université de Munich et ICOM) : “</w:t>
      </w:r>
      <w:proofErr w:type="spellStart"/>
      <w:r w:rsidRPr="002028A7">
        <w:rPr>
          <w:rFonts w:ascii="Garamond" w:hAnsi="Garamond"/>
          <w:i/>
          <w:sz w:val="24"/>
          <w:szCs w:val="24"/>
          <w:lang w:val="fr-BE"/>
        </w:rPr>
        <w:t>Ethnographic</w:t>
      </w:r>
      <w:proofErr w:type="spellEnd"/>
      <w:r w:rsidRPr="002028A7">
        <w:rPr>
          <w:rFonts w:ascii="Garamond" w:hAnsi="Garamond"/>
          <w:i/>
          <w:sz w:val="24"/>
          <w:szCs w:val="24"/>
          <w:lang w:val="fr-BE"/>
        </w:rPr>
        <w:t xml:space="preserve"> collections and </w:t>
      </w:r>
      <w:proofErr w:type="spellStart"/>
      <w:r w:rsidRPr="002028A7">
        <w:rPr>
          <w:rFonts w:ascii="Garamond" w:hAnsi="Garamond"/>
          <w:i/>
          <w:sz w:val="24"/>
          <w:szCs w:val="24"/>
          <w:lang w:val="fr-BE"/>
        </w:rPr>
        <w:t>Museums</w:t>
      </w:r>
      <w:proofErr w:type="spellEnd"/>
      <w:r w:rsidRPr="002028A7">
        <w:rPr>
          <w:rFonts w:ascii="Garamond" w:hAnsi="Garamond"/>
          <w:i/>
          <w:sz w:val="24"/>
          <w:szCs w:val="24"/>
          <w:lang w:val="fr-BE"/>
        </w:rPr>
        <w:t>: ICOM, claims and restitution</w:t>
      </w:r>
      <w:r w:rsidRPr="002028A7">
        <w:rPr>
          <w:rFonts w:ascii="Garamond" w:hAnsi="Garamond"/>
          <w:sz w:val="24"/>
          <w:szCs w:val="24"/>
          <w:lang w:val="fr-BE"/>
        </w:rPr>
        <w:t>”</w:t>
      </w:r>
      <w:r w:rsidRPr="002028A7">
        <w:rPr>
          <w:rFonts w:ascii="Garamond" w:hAnsi="Garamond"/>
          <w:sz w:val="24"/>
          <w:szCs w:val="24"/>
          <w:lang w:val="fr-BE"/>
        </w:rPr>
        <w:br/>
        <w:t>(en anglais)</w:t>
      </w:r>
    </w:p>
    <w:p w:rsidR="00B36EDF" w:rsidRPr="002028A7" w:rsidRDefault="00B36EDF" w:rsidP="00B36EDF">
      <w:pPr>
        <w:ind w:left="1416" w:hanging="1416"/>
        <w:rPr>
          <w:rFonts w:ascii="Garamond" w:hAnsi="Garamond"/>
          <w:i/>
          <w:sz w:val="24"/>
          <w:szCs w:val="24"/>
        </w:rPr>
      </w:pPr>
      <w:r w:rsidRPr="002028A7">
        <w:rPr>
          <w:rFonts w:ascii="Garamond" w:hAnsi="Garamond"/>
          <w:sz w:val="24"/>
          <w:szCs w:val="24"/>
        </w:rPr>
        <w:t>14.15-14.30</w:t>
      </w:r>
      <w:r w:rsidRPr="002028A7">
        <w:rPr>
          <w:rFonts w:ascii="Garamond" w:hAnsi="Garamond"/>
          <w:sz w:val="24"/>
          <w:szCs w:val="24"/>
        </w:rPr>
        <w:tab/>
      </w:r>
      <w:r w:rsidRPr="002028A7">
        <w:rPr>
          <w:rFonts w:ascii="Garamond" w:hAnsi="Garamond"/>
          <w:i/>
          <w:sz w:val="24"/>
          <w:szCs w:val="24"/>
        </w:rPr>
        <w:t>Pause café</w:t>
      </w:r>
    </w:p>
    <w:p w:rsidR="00B36EDF" w:rsidRPr="002028A7" w:rsidRDefault="00B36EDF" w:rsidP="00B36EDF">
      <w:pPr>
        <w:ind w:left="1416" w:hanging="1416"/>
        <w:rPr>
          <w:rFonts w:ascii="Garamond" w:hAnsi="Garamond"/>
          <w:sz w:val="24"/>
          <w:szCs w:val="24"/>
        </w:rPr>
      </w:pPr>
      <w:r w:rsidRPr="002028A7">
        <w:rPr>
          <w:rFonts w:ascii="Garamond" w:hAnsi="Garamond"/>
          <w:sz w:val="24"/>
          <w:szCs w:val="24"/>
        </w:rPr>
        <w:t>14h30-15h00</w:t>
      </w:r>
      <w:r w:rsidRPr="002028A7">
        <w:rPr>
          <w:rFonts w:ascii="Garamond" w:hAnsi="Garamond"/>
          <w:sz w:val="24"/>
          <w:szCs w:val="24"/>
        </w:rPr>
        <w:tab/>
        <w:t xml:space="preserve">Dr Laura Van </w:t>
      </w:r>
      <w:proofErr w:type="spellStart"/>
      <w:r w:rsidRPr="002028A7">
        <w:rPr>
          <w:rFonts w:ascii="Garamond" w:hAnsi="Garamond"/>
          <w:sz w:val="24"/>
          <w:szCs w:val="24"/>
        </w:rPr>
        <w:t>Broekhoven</w:t>
      </w:r>
      <w:proofErr w:type="spellEnd"/>
      <w:r w:rsidRPr="002028A7">
        <w:rPr>
          <w:rFonts w:ascii="Garamond" w:hAnsi="Garamond"/>
          <w:sz w:val="24"/>
          <w:szCs w:val="24"/>
        </w:rPr>
        <w:t xml:space="preserve"> (</w:t>
      </w:r>
      <w:proofErr w:type="spellStart"/>
      <w:r w:rsidRPr="002028A7">
        <w:rPr>
          <w:rFonts w:ascii="Garamond" w:hAnsi="Garamond"/>
          <w:sz w:val="24"/>
          <w:szCs w:val="24"/>
        </w:rPr>
        <w:t>Université</w:t>
      </w:r>
      <w:proofErr w:type="spellEnd"/>
      <w:r w:rsidRPr="002028A7">
        <w:rPr>
          <w:rFonts w:ascii="Garamond" w:hAnsi="Garamond"/>
          <w:sz w:val="24"/>
          <w:szCs w:val="24"/>
        </w:rPr>
        <w:t xml:space="preserve"> de </w:t>
      </w:r>
      <w:proofErr w:type="spellStart"/>
      <w:r w:rsidRPr="002028A7">
        <w:rPr>
          <w:rFonts w:ascii="Garamond" w:hAnsi="Garamond"/>
          <w:sz w:val="24"/>
          <w:szCs w:val="24"/>
        </w:rPr>
        <w:t>Leyde</w:t>
      </w:r>
      <w:proofErr w:type="spellEnd"/>
      <w:r w:rsidRPr="002028A7">
        <w:rPr>
          <w:rFonts w:ascii="Garamond" w:hAnsi="Garamond"/>
          <w:sz w:val="24"/>
          <w:szCs w:val="24"/>
        </w:rPr>
        <w:t>) : “</w:t>
      </w:r>
      <w:r w:rsidRPr="002028A7">
        <w:rPr>
          <w:rFonts w:ascii="Garamond" w:hAnsi="Garamond"/>
          <w:i/>
          <w:sz w:val="24"/>
          <w:szCs w:val="24"/>
        </w:rPr>
        <w:t>Cases from Middle and South America: between archaeology and anthropology</w:t>
      </w:r>
      <w:r w:rsidRPr="002028A7">
        <w:rPr>
          <w:rFonts w:ascii="Garamond" w:hAnsi="Garamond"/>
          <w:sz w:val="24"/>
          <w:szCs w:val="24"/>
        </w:rPr>
        <w:t xml:space="preserve">” </w:t>
      </w:r>
      <w:r w:rsidRPr="002028A7">
        <w:rPr>
          <w:rFonts w:ascii="Garamond" w:hAnsi="Garamond"/>
          <w:sz w:val="24"/>
          <w:szCs w:val="24"/>
        </w:rPr>
        <w:br/>
        <w:t xml:space="preserve">(en </w:t>
      </w:r>
      <w:proofErr w:type="spellStart"/>
      <w:r w:rsidRPr="002028A7">
        <w:rPr>
          <w:rFonts w:ascii="Garamond" w:hAnsi="Garamond"/>
          <w:sz w:val="24"/>
          <w:szCs w:val="24"/>
        </w:rPr>
        <w:t>anglais</w:t>
      </w:r>
      <w:proofErr w:type="spellEnd"/>
      <w:r w:rsidRPr="002028A7">
        <w:rPr>
          <w:rFonts w:ascii="Garamond" w:hAnsi="Garamond"/>
          <w:sz w:val="24"/>
          <w:szCs w:val="24"/>
        </w:rPr>
        <w:t>)</w:t>
      </w:r>
    </w:p>
    <w:p w:rsidR="00B36EDF" w:rsidRPr="002028A7" w:rsidRDefault="00B36EDF" w:rsidP="00B36EDF">
      <w:pPr>
        <w:ind w:left="1416" w:hanging="1416"/>
        <w:rPr>
          <w:rFonts w:ascii="Garamond" w:hAnsi="Garamond"/>
          <w:sz w:val="24"/>
          <w:szCs w:val="24"/>
          <w:lang w:val="fr-BE"/>
        </w:rPr>
      </w:pPr>
      <w:r w:rsidRPr="002028A7">
        <w:rPr>
          <w:rFonts w:ascii="Garamond" w:hAnsi="Garamond"/>
          <w:sz w:val="24"/>
          <w:szCs w:val="24"/>
          <w:lang w:val="fr-BE"/>
        </w:rPr>
        <w:t>15h00-15h30</w:t>
      </w:r>
      <w:r w:rsidRPr="002028A7">
        <w:rPr>
          <w:rFonts w:ascii="Garamond" w:hAnsi="Garamond"/>
          <w:sz w:val="24"/>
          <w:szCs w:val="24"/>
          <w:lang w:val="fr-BE"/>
        </w:rPr>
        <w:tab/>
        <w:t>Dr Nicolas Cauwe (Conservateur aux Musées royaux d’Art et d’Histoire, Chargé de cours à l’Université catholique de Louvain, Membre titulaire de l’Académie royale des Sciences d’Outre-Mer) : «</w:t>
      </w:r>
      <w:r w:rsidRPr="002028A7">
        <w:rPr>
          <w:rFonts w:ascii="Garamond" w:hAnsi="Garamond"/>
          <w:i/>
          <w:sz w:val="24"/>
          <w:szCs w:val="24"/>
          <w:lang w:val="fr-BE"/>
        </w:rPr>
        <w:t>Les restitutions des biens culturels : le cas des têtes maories (Nouvelle-Zélande)</w:t>
      </w:r>
      <w:r w:rsidRPr="002028A7">
        <w:rPr>
          <w:rFonts w:ascii="Garamond" w:hAnsi="Garamond"/>
          <w:sz w:val="24"/>
          <w:szCs w:val="24"/>
          <w:lang w:val="fr-BE"/>
        </w:rPr>
        <w:t>»</w:t>
      </w:r>
      <w:r w:rsidRPr="002028A7">
        <w:rPr>
          <w:rFonts w:ascii="Garamond" w:hAnsi="Garamond"/>
          <w:sz w:val="24"/>
          <w:szCs w:val="24"/>
          <w:lang w:val="fr-BE"/>
        </w:rPr>
        <w:br/>
        <w:t>(en français)</w:t>
      </w:r>
    </w:p>
    <w:p w:rsidR="00B36EDF" w:rsidRPr="002028A7" w:rsidRDefault="00B36EDF" w:rsidP="00B36EDF">
      <w:pPr>
        <w:ind w:left="1416" w:hanging="1416"/>
        <w:rPr>
          <w:rFonts w:ascii="Garamond" w:hAnsi="Garamond"/>
          <w:sz w:val="24"/>
          <w:szCs w:val="24"/>
          <w:lang w:val="fr-BE"/>
        </w:rPr>
      </w:pPr>
      <w:r w:rsidRPr="002028A7">
        <w:rPr>
          <w:rFonts w:ascii="Garamond" w:hAnsi="Garamond"/>
          <w:sz w:val="24"/>
          <w:szCs w:val="24"/>
          <w:lang w:val="fr-BE"/>
        </w:rPr>
        <w:t>15h30-16h15 </w:t>
      </w:r>
      <w:r w:rsidRPr="002028A7">
        <w:rPr>
          <w:rFonts w:ascii="Garamond" w:hAnsi="Garamond"/>
          <w:sz w:val="24"/>
          <w:szCs w:val="24"/>
          <w:lang w:val="fr-BE"/>
        </w:rPr>
        <w:tab/>
        <w:t>Discussion plénière sur les principaux enseignements de la conférence, sur les perspectives</w:t>
      </w:r>
      <w:r w:rsidR="005164C1" w:rsidRPr="002028A7">
        <w:rPr>
          <w:rFonts w:ascii="Garamond" w:hAnsi="Garamond"/>
          <w:sz w:val="24"/>
          <w:szCs w:val="24"/>
          <w:lang w:val="fr-BE"/>
        </w:rPr>
        <w:t xml:space="preserve"> de</w:t>
      </w:r>
      <w:r w:rsidRPr="002028A7">
        <w:rPr>
          <w:rFonts w:ascii="Garamond" w:hAnsi="Garamond"/>
          <w:sz w:val="24"/>
          <w:szCs w:val="24"/>
          <w:lang w:val="fr-BE"/>
        </w:rPr>
        <w:t xml:space="preserve"> suivi et sur les nouvelles formes de collaboration au sein d’ETHNOCOLL</w:t>
      </w:r>
    </w:p>
    <w:p w:rsidR="00B36EDF" w:rsidRPr="002028A7" w:rsidRDefault="00B36EDF" w:rsidP="00B36EDF">
      <w:pPr>
        <w:rPr>
          <w:rFonts w:ascii="Garamond" w:hAnsi="Garamond"/>
          <w:sz w:val="24"/>
          <w:szCs w:val="24"/>
          <w:lang w:val="fr-BE"/>
        </w:rPr>
      </w:pPr>
      <w:r w:rsidRPr="002028A7">
        <w:rPr>
          <w:rFonts w:ascii="Garamond" w:hAnsi="Garamond"/>
          <w:sz w:val="24"/>
          <w:szCs w:val="24"/>
          <w:lang w:val="fr-BE"/>
        </w:rPr>
        <w:t>16h15-17h00</w:t>
      </w:r>
      <w:r w:rsidRPr="002028A7">
        <w:rPr>
          <w:rFonts w:ascii="Garamond" w:hAnsi="Garamond"/>
          <w:sz w:val="24"/>
          <w:szCs w:val="24"/>
          <w:lang w:val="fr-BE"/>
        </w:rPr>
        <w:tab/>
        <w:t>Réception</w:t>
      </w:r>
    </w:p>
    <w:p w:rsidR="00B702C5" w:rsidRPr="002028A7" w:rsidRDefault="00B702C5" w:rsidP="00B36EDF">
      <w:pPr>
        <w:rPr>
          <w:rFonts w:ascii="Garamond" w:hAnsi="Garamond"/>
          <w:color w:val="000000" w:themeColor="text1"/>
          <w:sz w:val="24"/>
          <w:szCs w:val="24"/>
          <w:shd w:val="clear" w:color="auto" w:fill="FFFFFF"/>
          <w:lang w:val="fr-BE"/>
        </w:rPr>
      </w:pPr>
    </w:p>
    <w:p w:rsidR="00B702C5" w:rsidRPr="002028A7" w:rsidRDefault="00B702C5" w:rsidP="00B702C5">
      <w:pPr>
        <w:spacing w:after="0"/>
        <w:jc w:val="center"/>
        <w:rPr>
          <w:rFonts w:ascii="Garamond" w:hAnsi="Garamond"/>
          <w:b/>
          <w:sz w:val="24"/>
          <w:szCs w:val="24"/>
          <w:lang w:val="fr-BE"/>
        </w:rPr>
      </w:pPr>
      <w:r w:rsidRPr="002028A7">
        <w:rPr>
          <w:rFonts w:ascii="Garamond" w:hAnsi="Garamond"/>
          <w:b/>
          <w:sz w:val="24"/>
          <w:szCs w:val="24"/>
          <w:lang w:val="fr-BE"/>
        </w:rPr>
        <w:lastRenderedPageBreak/>
        <w:t>PRATIQUEMENT</w:t>
      </w:r>
    </w:p>
    <w:p w:rsidR="00B702C5" w:rsidRPr="002028A7" w:rsidRDefault="00B702C5" w:rsidP="00B702C5">
      <w:pPr>
        <w:spacing w:after="0"/>
        <w:rPr>
          <w:rFonts w:ascii="Garamond" w:hAnsi="Garamond"/>
          <w:sz w:val="24"/>
          <w:szCs w:val="24"/>
          <w:lang w:val="fr-BE"/>
        </w:rPr>
      </w:pPr>
    </w:p>
    <w:p w:rsidR="00B702C5" w:rsidRPr="002028A7" w:rsidRDefault="00B702C5" w:rsidP="00B702C5">
      <w:pPr>
        <w:spacing w:after="0"/>
        <w:rPr>
          <w:rFonts w:ascii="Garamond" w:hAnsi="Garamond"/>
          <w:sz w:val="24"/>
          <w:szCs w:val="24"/>
          <w:lang w:val="fr-BE"/>
        </w:rPr>
      </w:pPr>
    </w:p>
    <w:p w:rsidR="00B702C5" w:rsidRPr="002028A7" w:rsidRDefault="00B702C5" w:rsidP="00B702C5">
      <w:pPr>
        <w:rPr>
          <w:rFonts w:ascii="Garamond" w:hAnsi="Garamond"/>
          <w:sz w:val="24"/>
          <w:szCs w:val="24"/>
          <w:lang w:val="fr-BE"/>
        </w:rPr>
      </w:pPr>
      <w:r w:rsidRPr="002028A7">
        <w:rPr>
          <w:rFonts w:ascii="Garamond" w:hAnsi="Garamond"/>
          <w:b/>
          <w:sz w:val="24"/>
          <w:szCs w:val="24"/>
          <w:lang w:val="fr-BE"/>
        </w:rPr>
        <w:t xml:space="preserve">Date </w:t>
      </w:r>
      <w:r w:rsidRPr="002028A7">
        <w:rPr>
          <w:rFonts w:ascii="Garamond" w:hAnsi="Garamond"/>
          <w:sz w:val="24"/>
          <w:szCs w:val="24"/>
          <w:lang w:val="fr-BE"/>
        </w:rPr>
        <w:t>: 17 novembre 2014</w:t>
      </w:r>
    </w:p>
    <w:p w:rsidR="00B702C5" w:rsidRPr="002028A7" w:rsidRDefault="00B702C5" w:rsidP="00B702C5">
      <w:pPr>
        <w:rPr>
          <w:rFonts w:ascii="Garamond" w:hAnsi="Garamond"/>
          <w:color w:val="000000" w:themeColor="text1"/>
          <w:sz w:val="24"/>
          <w:szCs w:val="24"/>
          <w:shd w:val="clear" w:color="auto" w:fill="FFFFFF"/>
          <w:lang w:val="fr-BE"/>
        </w:rPr>
      </w:pPr>
      <w:r w:rsidRPr="002028A7">
        <w:rPr>
          <w:rFonts w:ascii="Garamond" w:hAnsi="Garamond"/>
          <w:b/>
          <w:color w:val="000000" w:themeColor="text1"/>
          <w:sz w:val="24"/>
          <w:szCs w:val="24"/>
          <w:lang w:val="fr-BE"/>
        </w:rPr>
        <w:t xml:space="preserve">Lieu </w:t>
      </w:r>
      <w:r w:rsidRPr="002028A7">
        <w:rPr>
          <w:rFonts w:ascii="Garamond" w:hAnsi="Garamond"/>
          <w:color w:val="000000" w:themeColor="text1"/>
          <w:sz w:val="24"/>
          <w:szCs w:val="24"/>
          <w:lang w:val="fr-BE"/>
        </w:rPr>
        <w:t xml:space="preserve">: KVAB, </w:t>
      </w:r>
      <w:r w:rsidRPr="002028A7">
        <w:rPr>
          <w:rFonts w:ascii="Garamond" w:hAnsi="Garamond"/>
          <w:color w:val="000000" w:themeColor="text1"/>
          <w:sz w:val="24"/>
          <w:szCs w:val="24"/>
          <w:shd w:val="clear" w:color="auto" w:fill="FFFFFF"/>
          <w:lang w:val="fr-BE"/>
        </w:rPr>
        <w:t>Palais des Académies – Rue Ducale 1 - 1000 Bruxelles</w:t>
      </w:r>
    </w:p>
    <w:p w:rsidR="00B36EDF" w:rsidRPr="002028A7" w:rsidRDefault="00B36EDF" w:rsidP="00B36EDF">
      <w:pPr>
        <w:rPr>
          <w:rFonts w:ascii="Garamond" w:hAnsi="Garamond"/>
          <w:color w:val="000000" w:themeColor="text1"/>
          <w:sz w:val="24"/>
          <w:szCs w:val="24"/>
          <w:shd w:val="clear" w:color="auto" w:fill="FFFFFF"/>
          <w:lang w:val="fr-BE"/>
        </w:rPr>
      </w:pPr>
      <w:r w:rsidRPr="002028A7">
        <w:rPr>
          <w:rFonts w:ascii="Garamond" w:hAnsi="Garamond"/>
          <w:b/>
          <w:color w:val="000000" w:themeColor="text1"/>
          <w:sz w:val="24"/>
          <w:szCs w:val="24"/>
          <w:shd w:val="clear" w:color="auto" w:fill="FFFFFF"/>
          <w:lang w:val="fr-BE"/>
        </w:rPr>
        <w:t xml:space="preserve">La participation </w:t>
      </w:r>
      <w:r w:rsidRPr="002028A7">
        <w:rPr>
          <w:rFonts w:ascii="Garamond" w:hAnsi="Garamond"/>
          <w:color w:val="000000" w:themeColor="text1"/>
          <w:sz w:val="24"/>
          <w:szCs w:val="24"/>
          <w:shd w:val="clear" w:color="auto" w:fill="FFFFFF"/>
          <w:lang w:val="fr-BE"/>
        </w:rPr>
        <w:t>est gratuite.</w:t>
      </w:r>
    </w:p>
    <w:p w:rsidR="00B36EDF" w:rsidRPr="002028A7" w:rsidRDefault="00B36EDF" w:rsidP="00B36EDF">
      <w:pPr>
        <w:rPr>
          <w:rFonts w:ascii="Garamond" w:hAnsi="Garamond"/>
          <w:color w:val="000000" w:themeColor="text1"/>
          <w:sz w:val="24"/>
          <w:szCs w:val="24"/>
          <w:shd w:val="clear" w:color="auto" w:fill="FFFFFF"/>
          <w:lang w:val="fr-BE"/>
        </w:rPr>
      </w:pPr>
      <w:r w:rsidRPr="002028A7">
        <w:rPr>
          <w:rFonts w:ascii="Garamond" w:hAnsi="Garamond"/>
          <w:b/>
          <w:color w:val="000000" w:themeColor="text1"/>
          <w:sz w:val="24"/>
          <w:szCs w:val="24"/>
          <w:shd w:val="clear" w:color="auto" w:fill="FFFFFF"/>
          <w:lang w:val="fr-BE"/>
        </w:rPr>
        <w:t>Inscription</w:t>
      </w:r>
      <w:r w:rsidRPr="002028A7">
        <w:rPr>
          <w:rFonts w:ascii="Garamond" w:hAnsi="Garamond"/>
          <w:color w:val="000000" w:themeColor="text1"/>
          <w:sz w:val="24"/>
          <w:szCs w:val="24"/>
          <w:shd w:val="clear" w:color="auto" w:fill="FFFFFF"/>
          <w:lang w:val="fr-BE"/>
        </w:rPr>
        <w:t xml:space="preserve"> à l’adresse </w:t>
      </w:r>
      <w:hyperlink r:id="rId8" w:history="1">
        <w:r w:rsidRPr="002028A7">
          <w:rPr>
            <w:rStyle w:val="Hyperlink"/>
            <w:rFonts w:ascii="Garamond" w:hAnsi="Garamond"/>
            <w:sz w:val="24"/>
            <w:szCs w:val="24"/>
            <w:shd w:val="clear" w:color="auto" w:fill="FFFFFF"/>
            <w:lang w:val="fr-BE"/>
          </w:rPr>
          <w:t>carpentier.i@kbs-frb.be</w:t>
        </w:r>
      </w:hyperlink>
      <w:r w:rsidRPr="002028A7">
        <w:rPr>
          <w:rFonts w:ascii="Garamond" w:hAnsi="Garamond"/>
          <w:color w:val="000000" w:themeColor="text1"/>
          <w:sz w:val="24"/>
          <w:szCs w:val="24"/>
          <w:shd w:val="clear" w:color="auto" w:fill="FFFFFF"/>
          <w:lang w:val="fr-BE"/>
        </w:rPr>
        <w:t xml:space="preserve"> souhaitée.</w:t>
      </w:r>
    </w:p>
    <w:p w:rsidR="00B702C5" w:rsidRPr="002028A7" w:rsidRDefault="00B702C5" w:rsidP="00B702C5">
      <w:pPr>
        <w:rPr>
          <w:rFonts w:ascii="Garamond" w:hAnsi="Garamond"/>
          <w:color w:val="000000" w:themeColor="text1"/>
          <w:sz w:val="24"/>
          <w:szCs w:val="24"/>
          <w:shd w:val="clear" w:color="auto" w:fill="FFFFFF"/>
          <w:lang w:val="fr-BE"/>
        </w:rPr>
      </w:pPr>
      <w:r w:rsidRPr="002028A7">
        <w:rPr>
          <w:rFonts w:ascii="Garamond" w:hAnsi="Garamond"/>
          <w:color w:val="000000" w:themeColor="text1"/>
          <w:sz w:val="24"/>
          <w:szCs w:val="24"/>
          <w:shd w:val="clear" w:color="auto" w:fill="FFFFFF"/>
          <w:lang w:val="fr-BE"/>
        </w:rPr>
        <w:t xml:space="preserve">Le </w:t>
      </w:r>
      <w:r w:rsidRPr="002028A7">
        <w:rPr>
          <w:rFonts w:ascii="Garamond" w:hAnsi="Garamond"/>
          <w:b/>
          <w:color w:val="000000" w:themeColor="text1"/>
          <w:sz w:val="24"/>
          <w:szCs w:val="24"/>
          <w:shd w:val="clear" w:color="auto" w:fill="FFFFFF"/>
          <w:lang w:val="fr-BE"/>
        </w:rPr>
        <w:t>résumé</w:t>
      </w:r>
      <w:r w:rsidRPr="002028A7">
        <w:rPr>
          <w:rFonts w:ascii="Garamond" w:hAnsi="Garamond"/>
          <w:color w:val="000000" w:themeColor="text1"/>
          <w:sz w:val="24"/>
          <w:szCs w:val="24"/>
          <w:shd w:val="clear" w:color="auto" w:fill="FFFFFF"/>
          <w:lang w:val="fr-BE"/>
        </w:rPr>
        <w:t xml:space="preserve"> des présentations sera disponible en néerlandais, en français et en anglais.</w:t>
      </w:r>
    </w:p>
    <w:p w:rsidR="00B36EDF" w:rsidRPr="002028A7" w:rsidRDefault="00B36EDF" w:rsidP="00B36EDF">
      <w:pPr>
        <w:rPr>
          <w:rFonts w:ascii="Garamond" w:hAnsi="Garamond"/>
          <w:sz w:val="24"/>
          <w:szCs w:val="24"/>
          <w:lang w:val="nl-BE"/>
        </w:rPr>
      </w:pPr>
      <w:proofErr w:type="spellStart"/>
      <w:r w:rsidRPr="002028A7">
        <w:rPr>
          <w:rFonts w:ascii="Garamond" w:hAnsi="Garamond"/>
          <w:b/>
          <w:sz w:val="24"/>
          <w:szCs w:val="24"/>
          <w:lang w:val="nl-BE"/>
        </w:rPr>
        <w:t>Une</w:t>
      </w:r>
      <w:proofErr w:type="spellEnd"/>
      <w:r w:rsidRPr="002028A7">
        <w:rPr>
          <w:rFonts w:ascii="Garamond" w:hAnsi="Garamond"/>
          <w:b/>
          <w:sz w:val="24"/>
          <w:szCs w:val="24"/>
          <w:lang w:val="nl-BE"/>
        </w:rPr>
        <w:t xml:space="preserve"> </w:t>
      </w:r>
      <w:proofErr w:type="spellStart"/>
      <w:r w:rsidRPr="002028A7">
        <w:rPr>
          <w:rFonts w:ascii="Garamond" w:hAnsi="Garamond"/>
          <w:b/>
          <w:sz w:val="24"/>
          <w:szCs w:val="24"/>
          <w:lang w:val="nl-BE"/>
        </w:rPr>
        <w:t>initiative</w:t>
      </w:r>
      <w:proofErr w:type="spellEnd"/>
      <w:r w:rsidRPr="002028A7">
        <w:rPr>
          <w:rFonts w:ascii="Garamond" w:hAnsi="Garamond"/>
          <w:sz w:val="24"/>
          <w:szCs w:val="24"/>
          <w:lang w:val="nl-BE"/>
        </w:rPr>
        <w:t xml:space="preserve"> </w:t>
      </w:r>
      <w:proofErr w:type="spellStart"/>
      <w:r w:rsidRPr="002028A7">
        <w:rPr>
          <w:rFonts w:ascii="Garamond" w:hAnsi="Garamond"/>
          <w:sz w:val="24"/>
          <w:szCs w:val="24"/>
          <w:lang w:val="nl-BE"/>
        </w:rPr>
        <w:t>d’ETHNOCOLL</w:t>
      </w:r>
      <w:proofErr w:type="spellEnd"/>
      <w:r w:rsidRPr="002028A7">
        <w:rPr>
          <w:rFonts w:ascii="Garamond" w:hAnsi="Garamond"/>
          <w:sz w:val="24"/>
          <w:szCs w:val="24"/>
          <w:lang w:val="nl-BE"/>
        </w:rPr>
        <w:t xml:space="preserve"> en </w:t>
      </w:r>
      <w:proofErr w:type="spellStart"/>
      <w:r w:rsidRPr="002028A7">
        <w:rPr>
          <w:rFonts w:ascii="Garamond" w:hAnsi="Garamond"/>
          <w:sz w:val="24"/>
          <w:szCs w:val="24"/>
          <w:lang w:val="nl-BE"/>
        </w:rPr>
        <w:t>partenariat</w:t>
      </w:r>
      <w:proofErr w:type="spellEnd"/>
      <w:r w:rsidRPr="002028A7">
        <w:rPr>
          <w:rFonts w:ascii="Garamond" w:hAnsi="Garamond"/>
          <w:sz w:val="24"/>
          <w:szCs w:val="24"/>
          <w:lang w:val="nl-BE"/>
        </w:rPr>
        <w:t xml:space="preserve"> </w:t>
      </w:r>
      <w:proofErr w:type="spellStart"/>
      <w:r w:rsidRPr="002028A7">
        <w:rPr>
          <w:rFonts w:ascii="Garamond" w:hAnsi="Garamond"/>
          <w:sz w:val="24"/>
          <w:szCs w:val="24"/>
          <w:lang w:val="nl-BE"/>
        </w:rPr>
        <w:t>avec</w:t>
      </w:r>
      <w:proofErr w:type="spellEnd"/>
      <w:r w:rsidRPr="002028A7">
        <w:rPr>
          <w:rFonts w:ascii="Garamond" w:hAnsi="Garamond"/>
          <w:sz w:val="24"/>
          <w:szCs w:val="24"/>
          <w:lang w:val="nl-BE"/>
        </w:rPr>
        <w:t xml:space="preserve"> la </w:t>
      </w:r>
      <w:r w:rsidRPr="002028A7">
        <w:rPr>
          <w:rFonts w:ascii="Garamond" w:hAnsi="Garamond"/>
          <w:bCs/>
          <w:color w:val="000000"/>
          <w:kern w:val="36"/>
          <w:sz w:val="24"/>
          <w:szCs w:val="24"/>
          <w:lang w:val="nl-BE" w:eastAsia="nl-BE"/>
        </w:rPr>
        <w:t xml:space="preserve">Koninklijke Vlaamse Academie van België voor Wetenschappen en Kunsten, </w:t>
      </w:r>
      <w:r w:rsidRPr="002028A7">
        <w:rPr>
          <w:rFonts w:ascii="Garamond" w:hAnsi="Garamond"/>
          <w:sz w:val="24"/>
          <w:szCs w:val="24"/>
          <w:lang w:val="nl-BE"/>
        </w:rPr>
        <w:t>la Vrije Universiteit Brussel, la Rijksuniversiteit Gent et la Katholieke Universiteit Leuven.</w:t>
      </w:r>
    </w:p>
    <w:p w:rsidR="00B36EDF" w:rsidRPr="002028A7" w:rsidRDefault="00B36EDF" w:rsidP="00B36EDF">
      <w:pPr>
        <w:rPr>
          <w:rFonts w:ascii="Garamond" w:hAnsi="Garamond"/>
          <w:sz w:val="24"/>
          <w:szCs w:val="24"/>
          <w:lang w:val="fr-BE"/>
        </w:rPr>
      </w:pPr>
      <w:r w:rsidRPr="002028A7">
        <w:rPr>
          <w:rFonts w:ascii="Garamond" w:hAnsi="Garamond"/>
          <w:sz w:val="24"/>
          <w:szCs w:val="24"/>
          <w:lang w:val="fr-BE"/>
        </w:rPr>
        <w:t xml:space="preserve">ETHNOCOLL est une plate-forme d’institutions belges possédant des collections ethnographiques et non-européennes. Elle aborde certains questionnements communs, tels la restitution, la visibilité des collections, la recherche et la formation, la restauration-conservation, la collaboration avec les communautés ressources. Les réunions de travail réunissent tant des collaborateurs de musées, des gestionnaires d’archives que des responsables de collections universitaires. ETHNOCOLL est une initiative facilitée par l’asbl FARO, </w:t>
      </w:r>
      <w:r w:rsidR="00B702C5" w:rsidRPr="002028A7">
        <w:rPr>
          <w:rFonts w:ascii="Garamond" w:hAnsi="Garamond"/>
          <w:sz w:val="24"/>
          <w:szCs w:val="24"/>
          <w:lang w:val="fr-BE"/>
        </w:rPr>
        <w:t>i</w:t>
      </w:r>
      <w:r w:rsidRPr="002028A7">
        <w:rPr>
          <w:rFonts w:ascii="Garamond" w:hAnsi="Garamond"/>
          <w:sz w:val="24"/>
          <w:szCs w:val="24"/>
          <w:lang w:val="fr-BE"/>
        </w:rPr>
        <w:t>nterface flamande pour le patrimoine culturel, et la Fondation Roi Baudouin.</w:t>
      </w:r>
    </w:p>
    <w:p w:rsidR="001102A9" w:rsidRPr="002028A7" w:rsidRDefault="001102A9" w:rsidP="00FB6B59">
      <w:pPr>
        <w:ind w:left="708"/>
        <w:rPr>
          <w:rFonts w:ascii="Garamond" w:hAnsi="Garamond"/>
          <w:sz w:val="24"/>
          <w:szCs w:val="24"/>
          <w:lang w:val="fr-BE"/>
        </w:rPr>
      </w:pPr>
    </w:p>
    <w:sectPr w:rsidR="001102A9" w:rsidRPr="002028A7" w:rsidSect="00B702C5">
      <w:pgSz w:w="11906" w:h="16838"/>
      <w:pgMar w:top="1080" w:right="1418" w:bottom="10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F281B"/>
    <w:multiLevelType w:val="hybridMultilevel"/>
    <w:tmpl w:val="6B668450"/>
    <w:lvl w:ilvl="0" w:tplc="AB08FE74">
      <w:start w:val="5"/>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5E"/>
    <w:rsid w:val="000977E0"/>
    <w:rsid w:val="000A2683"/>
    <w:rsid w:val="001102A9"/>
    <w:rsid w:val="00147208"/>
    <w:rsid w:val="002028A7"/>
    <w:rsid w:val="00204D70"/>
    <w:rsid w:val="002131DF"/>
    <w:rsid w:val="00222BD8"/>
    <w:rsid w:val="0029103C"/>
    <w:rsid w:val="002D11B0"/>
    <w:rsid w:val="00363C82"/>
    <w:rsid w:val="003A3E41"/>
    <w:rsid w:val="003C6B5F"/>
    <w:rsid w:val="00420F29"/>
    <w:rsid w:val="004D1ADD"/>
    <w:rsid w:val="005164C1"/>
    <w:rsid w:val="005704E4"/>
    <w:rsid w:val="005A6DC5"/>
    <w:rsid w:val="005A7D75"/>
    <w:rsid w:val="005F3CEB"/>
    <w:rsid w:val="00615B1E"/>
    <w:rsid w:val="006B402E"/>
    <w:rsid w:val="00827D2D"/>
    <w:rsid w:val="008C341F"/>
    <w:rsid w:val="008D4157"/>
    <w:rsid w:val="00A12FC5"/>
    <w:rsid w:val="00A80E73"/>
    <w:rsid w:val="00A959DD"/>
    <w:rsid w:val="00B36EDF"/>
    <w:rsid w:val="00B5305E"/>
    <w:rsid w:val="00B702C5"/>
    <w:rsid w:val="00BE4061"/>
    <w:rsid w:val="00D76392"/>
    <w:rsid w:val="00DD207D"/>
    <w:rsid w:val="00DE57F6"/>
    <w:rsid w:val="00E3057C"/>
    <w:rsid w:val="00EA5B71"/>
    <w:rsid w:val="00ED49A1"/>
    <w:rsid w:val="00EE36DD"/>
    <w:rsid w:val="00F43BD5"/>
    <w:rsid w:val="00FB6B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EB"/>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0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FC5"/>
    <w:rPr>
      <w:rFonts w:ascii="Tahoma" w:hAnsi="Tahoma" w:cs="Tahoma"/>
      <w:sz w:val="16"/>
      <w:szCs w:val="16"/>
    </w:rPr>
  </w:style>
  <w:style w:type="character" w:styleId="Hyperlink">
    <w:name w:val="Hyperlink"/>
    <w:basedOn w:val="DefaultParagraphFont"/>
    <w:uiPriority w:val="99"/>
    <w:rsid w:val="00A12FC5"/>
    <w:rPr>
      <w:rFonts w:cs="Times New Roman"/>
      <w:color w:val="0000FF"/>
      <w:u w:val="single"/>
    </w:rPr>
  </w:style>
  <w:style w:type="paragraph" w:styleId="ListParagraph">
    <w:name w:val="List Paragraph"/>
    <w:basedOn w:val="Normal"/>
    <w:uiPriority w:val="99"/>
    <w:qFormat/>
    <w:rsid w:val="004D1ADD"/>
    <w:pPr>
      <w:spacing w:after="0" w:line="240" w:lineRule="auto"/>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EB"/>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0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FC5"/>
    <w:rPr>
      <w:rFonts w:ascii="Tahoma" w:hAnsi="Tahoma" w:cs="Tahoma"/>
      <w:sz w:val="16"/>
      <w:szCs w:val="16"/>
    </w:rPr>
  </w:style>
  <w:style w:type="character" w:styleId="Hyperlink">
    <w:name w:val="Hyperlink"/>
    <w:basedOn w:val="DefaultParagraphFont"/>
    <w:uiPriority w:val="99"/>
    <w:rsid w:val="00A12FC5"/>
    <w:rPr>
      <w:rFonts w:cs="Times New Roman"/>
      <w:color w:val="0000FF"/>
      <w:u w:val="single"/>
    </w:rPr>
  </w:style>
  <w:style w:type="paragraph" w:styleId="ListParagraph">
    <w:name w:val="List Paragraph"/>
    <w:basedOn w:val="Normal"/>
    <w:uiPriority w:val="99"/>
    <w:qFormat/>
    <w:rsid w:val="004D1ADD"/>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4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pentier.i@kbs-frb.b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B8A20316</Template>
  <TotalTime>0</TotalTime>
  <Pages>3</Pages>
  <Words>575</Words>
  <Characters>3750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Faro</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katrijn.d'hamers</dc:creator>
  <cp:lastModifiedBy>FOBELETS Astrid</cp:lastModifiedBy>
  <cp:revision>2</cp:revision>
  <cp:lastPrinted>2013-05-22T19:30:00Z</cp:lastPrinted>
  <dcterms:created xsi:type="dcterms:W3CDTF">2014-10-20T07:33:00Z</dcterms:created>
  <dcterms:modified xsi:type="dcterms:W3CDTF">2014-10-20T07:33:00Z</dcterms:modified>
</cp:coreProperties>
</file>